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outlineLvl w:val="1"/>
        <w:rPr>
          <w:rFonts w:hint="eastAsia" w:ascii="方正小标宋简体" w:hAnsi="方正小标宋简体" w:eastAsia="方正小标宋简体" w:cs="方正小标宋简体"/>
          <w:b w:val="0"/>
          <w:bCs w:val="0"/>
          <w:sz w:val="32"/>
          <w:szCs w:val="32"/>
          <w:highlight w:val="none"/>
        </w:rPr>
      </w:pPr>
      <w:r>
        <w:rPr>
          <w:rFonts w:hint="eastAsia" w:ascii="方正小标宋简体" w:hAnsi="方正小标宋简体" w:eastAsia="方正小标宋简体" w:cs="方正小标宋简体"/>
          <w:b w:val="0"/>
          <w:bCs w:val="0"/>
          <w:sz w:val="32"/>
          <w:szCs w:val="32"/>
          <w:highlight w:val="none"/>
        </w:rPr>
        <w:t>采购内容</w:t>
      </w:r>
      <w:r>
        <w:rPr>
          <w:rFonts w:hint="eastAsia" w:ascii="方正小标宋简体" w:hAnsi="方正小标宋简体" w:eastAsia="方正小标宋简体" w:cs="方正小标宋简体"/>
          <w:b w:val="0"/>
          <w:bCs w:val="0"/>
          <w:sz w:val="32"/>
          <w:szCs w:val="32"/>
          <w:highlight w:val="none"/>
          <w:lang w:eastAsia="zh-CN"/>
        </w:rPr>
        <w:t>及</w:t>
      </w:r>
      <w:r>
        <w:rPr>
          <w:rFonts w:hint="eastAsia" w:ascii="方正小标宋简体" w:hAnsi="方正小标宋简体" w:eastAsia="方正小标宋简体" w:cs="方正小标宋简体"/>
          <w:b w:val="0"/>
          <w:bCs w:val="0"/>
          <w:sz w:val="32"/>
          <w:szCs w:val="32"/>
          <w:highlight w:val="none"/>
        </w:rPr>
        <w:t>要求</w:t>
      </w:r>
    </w:p>
    <w:p>
      <w:pPr>
        <w:pageBreakBefore w:val="0"/>
        <w:widowControl w:val="0"/>
        <w:kinsoku/>
        <w:wordWrap/>
        <w:overflowPunct/>
        <w:topLinePunct w:val="0"/>
        <w:autoSpaceDE/>
        <w:autoSpaceDN/>
        <w:bidi w:val="0"/>
        <w:adjustRightInd/>
        <w:snapToGrid/>
        <w:spacing w:line="240" w:lineRule="auto"/>
        <w:textAlignment w:val="auto"/>
        <w:outlineLvl w:val="1"/>
        <w:rPr>
          <w:rFonts w:hint="eastAsia" w:ascii="仿宋_GB2312" w:hAnsi="仿宋_GB2312" w:eastAsia="仿宋_GB2312" w:cs="仿宋_GB2312"/>
          <w:b/>
          <w:bCs/>
          <w:sz w:val="30"/>
          <w:szCs w:val="30"/>
          <w:highlight w:val="none"/>
        </w:rPr>
      </w:pPr>
      <w:r>
        <w:rPr>
          <w:rFonts w:hint="eastAsia" w:ascii="仿宋_GB2312" w:hAnsi="仿宋_GB2312" w:eastAsia="仿宋_GB2312" w:cs="仿宋_GB2312"/>
          <w:b/>
          <w:bCs/>
          <w:sz w:val="30"/>
          <w:szCs w:val="30"/>
          <w:highlight w:val="none"/>
        </w:rPr>
        <w:t>一、项目概况：</w:t>
      </w:r>
    </w:p>
    <w:p>
      <w:pPr>
        <w:pageBreakBefore w:val="0"/>
        <w:widowControl w:val="0"/>
        <w:kinsoku/>
        <w:wordWrap/>
        <w:overflowPunct/>
        <w:topLinePunct w:val="0"/>
        <w:autoSpaceDE/>
        <w:autoSpaceDN/>
        <w:bidi w:val="0"/>
        <w:adjustRightInd/>
        <w:snapToGrid/>
        <w:spacing w:line="240" w:lineRule="auto"/>
        <w:textAlignment w:val="auto"/>
        <w:outlineLvl w:val="1"/>
        <w:rPr>
          <w:rFonts w:hint="eastAsia" w:ascii="仿宋_GB2312" w:hAnsi="仿宋_GB2312" w:eastAsia="仿宋_GB2312" w:cs="仿宋_GB2312"/>
          <w:b w:val="0"/>
          <w:bCs w:val="0"/>
          <w:sz w:val="30"/>
          <w:szCs w:val="30"/>
          <w:highlight w:val="none"/>
        </w:rPr>
      </w:pPr>
      <w:r>
        <w:rPr>
          <w:rFonts w:hint="eastAsia" w:ascii="仿宋_GB2312" w:hAnsi="仿宋_GB2312" w:eastAsia="仿宋_GB2312" w:cs="仿宋_GB2312"/>
          <w:b w:val="0"/>
          <w:bCs w:val="0"/>
          <w:sz w:val="30"/>
          <w:szCs w:val="30"/>
          <w:highlight w:val="none"/>
          <w:lang w:val="en-US" w:eastAsia="zh-CN"/>
        </w:rPr>
        <w:t>1.项目名称：</w:t>
      </w:r>
      <w:r>
        <w:rPr>
          <w:rFonts w:hint="eastAsia" w:ascii="仿宋_GB2312" w:hAnsi="仿宋_GB2312" w:eastAsia="仿宋_GB2312" w:cs="仿宋_GB2312"/>
          <w:b w:val="0"/>
          <w:bCs w:val="0"/>
          <w:sz w:val="30"/>
          <w:szCs w:val="30"/>
          <w:highlight w:val="none"/>
        </w:rPr>
        <w:t>内蒙古自治区教育考试院2026年全国硕士研究生入学考试智能巡考服务项目</w:t>
      </w:r>
    </w:p>
    <w:p>
      <w:pPr>
        <w:pageBreakBefore w:val="0"/>
        <w:widowControl w:val="0"/>
        <w:kinsoku/>
        <w:wordWrap/>
        <w:overflowPunct/>
        <w:topLinePunct w:val="0"/>
        <w:autoSpaceDE/>
        <w:autoSpaceDN/>
        <w:bidi w:val="0"/>
        <w:adjustRightInd/>
        <w:snapToGrid/>
        <w:spacing w:line="240" w:lineRule="auto"/>
        <w:textAlignment w:val="auto"/>
        <w:outlineLvl w:val="1"/>
        <w:rPr>
          <w:rFonts w:hint="eastAsia" w:ascii="仿宋_GB2312" w:hAnsi="仿宋_GB2312" w:eastAsia="仿宋_GB2312" w:cs="仿宋_GB2312"/>
          <w:b w:val="0"/>
          <w:bCs w:val="0"/>
          <w:sz w:val="30"/>
          <w:szCs w:val="30"/>
          <w:highlight w:val="none"/>
        </w:rPr>
      </w:pPr>
      <w:r>
        <w:rPr>
          <w:rFonts w:hint="eastAsia" w:ascii="仿宋_GB2312" w:hAnsi="仿宋_GB2312" w:eastAsia="仿宋_GB2312" w:cs="仿宋_GB2312"/>
          <w:b w:val="0"/>
          <w:bCs w:val="0"/>
          <w:sz w:val="30"/>
          <w:szCs w:val="30"/>
          <w:highlight w:val="none"/>
          <w:lang w:val="en-US" w:eastAsia="zh-CN"/>
        </w:rPr>
        <w:t>2.预算金额：13.2万元</w:t>
      </w:r>
    </w:p>
    <w:p>
      <w:pPr>
        <w:pStyle w:val="9"/>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二、商务要求</w:t>
      </w:r>
    </w:p>
    <w:tbl>
      <w:tblPr>
        <w:tblStyle w:val="12"/>
        <w:tblpPr w:leftFromText="180" w:rightFromText="180" w:vertAnchor="text" w:horzAnchor="page" w:tblpX="1752" w:tblpY="421"/>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146" w:type="dxa"/>
            <w:vAlign w:val="center"/>
          </w:tcPr>
          <w:p>
            <w:pPr>
              <w:spacing w:line="440" w:lineRule="exact"/>
              <w:contextualSpacing/>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标的提供时间</w:t>
            </w:r>
          </w:p>
        </w:tc>
        <w:tc>
          <w:tcPr>
            <w:tcW w:w="6953" w:type="dxa"/>
            <w:vAlign w:val="center"/>
          </w:tcPr>
          <w:p>
            <w:pPr>
              <w:spacing w:line="440" w:lineRule="exact"/>
              <w:contextualSpacing/>
              <w:jc w:val="both"/>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 xml:space="preserve">完成2026年全国硕士研究生入学考试任务（具体履行起始时间以合同签订为准）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146" w:type="dxa"/>
            <w:vAlign w:val="center"/>
          </w:tcPr>
          <w:p>
            <w:pPr>
              <w:spacing w:line="440" w:lineRule="exact"/>
              <w:contextualSpacing/>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标的提供地点</w:t>
            </w:r>
          </w:p>
        </w:tc>
        <w:tc>
          <w:tcPr>
            <w:tcW w:w="6953" w:type="dxa"/>
            <w:vAlign w:val="center"/>
          </w:tcPr>
          <w:p>
            <w:pPr>
              <w:spacing w:line="440" w:lineRule="exact"/>
              <w:contextualSpacing/>
              <w:jc w:val="both"/>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内蒙古自治区教育考试院及全区12个盟市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2146" w:type="dxa"/>
            <w:vAlign w:val="center"/>
          </w:tcPr>
          <w:p>
            <w:pPr>
              <w:spacing w:line="440" w:lineRule="exact"/>
              <w:contextualSpacing/>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付款方式</w:t>
            </w:r>
          </w:p>
        </w:tc>
        <w:tc>
          <w:tcPr>
            <w:tcW w:w="6953" w:type="dxa"/>
            <w:vAlign w:val="center"/>
          </w:tcPr>
          <w:p>
            <w:pPr>
              <w:spacing w:line="440" w:lineRule="exact"/>
              <w:contextualSpacing/>
              <w:jc w:val="both"/>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付款比例100%，符合验收条件，乙方开具全额增值税普通发票，甲方在收到上述发票后1个月内支付100%的合同款。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146" w:type="dxa"/>
            <w:vAlign w:val="center"/>
          </w:tcPr>
          <w:p>
            <w:pPr>
              <w:spacing w:line="440" w:lineRule="exact"/>
              <w:contextualSpacing/>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履约保证金</w:t>
            </w:r>
          </w:p>
        </w:tc>
        <w:tc>
          <w:tcPr>
            <w:tcW w:w="6953" w:type="dxa"/>
            <w:vAlign w:val="center"/>
          </w:tcPr>
          <w:p>
            <w:pPr>
              <w:spacing w:line="440" w:lineRule="exact"/>
              <w:contextualSpacing/>
              <w:jc w:val="both"/>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不收取</w:t>
            </w:r>
          </w:p>
        </w:tc>
      </w:tr>
    </w:tbl>
    <w:p>
      <w:pPr>
        <w:pStyle w:val="9"/>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三、采购内容</w:t>
      </w:r>
    </w:p>
    <w:tbl>
      <w:tblPr>
        <w:tblStyle w:val="11"/>
        <w:tblW w:w="9157"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801"/>
        <w:gridCol w:w="3544"/>
        <w:gridCol w:w="1102"/>
        <w:gridCol w:w="1455"/>
        <w:gridCol w:w="1202"/>
        <w:gridCol w:w="105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44" w:hRule="atLeast"/>
          <w:jc w:val="center"/>
        </w:trPr>
        <w:tc>
          <w:tcPr>
            <w:tcW w:w="801"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品目号</w:t>
            </w:r>
          </w:p>
        </w:tc>
        <w:tc>
          <w:tcPr>
            <w:tcW w:w="3544"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ind w:firstLine="482" w:firstLineChars="201"/>
              <w:contextualSpacing/>
              <w:jc w:val="both"/>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采购标的</w:t>
            </w:r>
          </w:p>
        </w:tc>
        <w:tc>
          <w:tcPr>
            <w:tcW w:w="1102"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数量</w:t>
            </w:r>
          </w:p>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（单位）</w:t>
            </w:r>
          </w:p>
        </w:tc>
        <w:tc>
          <w:tcPr>
            <w:tcW w:w="1455"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技术规格、参数及要求</w:t>
            </w:r>
          </w:p>
        </w:tc>
        <w:tc>
          <w:tcPr>
            <w:tcW w:w="1202"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品目预算（元）</w:t>
            </w:r>
          </w:p>
        </w:tc>
        <w:tc>
          <w:tcPr>
            <w:tcW w:w="1053"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59" w:hRule="atLeast"/>
          <w:jc w:val="center"/>
        </w:trPr>
        <w:tc>
          <w:tcPr>
            <w:tcW w:w="801"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p>
        </w:tc>
        <w:tc>
          <w:tcPr>
            <w:tcW w:w="3544"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内蒙古自治区教育考试院2026年全国硕士研究生入学考试智能巡考服务项目</w:t>
            </w:r>
          </w:p>
        </w:tc>
        <w:tc>
          <w:tcPr>
            <w:tcW w:w="1102"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1项</w:t>
            </w:r>
          </w:p>
        </w:tc>
        <w:tc>
          <w:tcPr>
            <w:tcW w:w="1455"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详见需求</w:t>
            </w:r>
          </w:p>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一览表</w:t>
            </w:r>
          </w:p>
        </w:tc>
        <w:tc>
          <w:tcPr>
            <w:tcW w:w="1202"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132000</w:t>
            </w:r>
          </w:p>
        </w:tc>
        <w:tc>
          <w:tcPr>
            <w:tcW w:w="1053" w:type="dxa"/>
            <w:tcBorders>
              <w:top w:val="single" w:color="333333" w:sz="4" w:space="0"/>
              <w:left w:val="single" w:color="333333" w:sz="4" w:space="0"/>
              <w:bottom w:val="single" w:color="333333" w:sz="4" w:space="0"/>
              <w:right w:val="single" w:color="333333" w:sz="4" w:space="0"/>
            </w:tcBorders>
            <w:shd w:val="clear" w:color="auto" w:fill="FFFFFF"/>
            <w:tcMar>
              <w:top w:w="50" w:type="dxa"/>
              <w:left w:w="80" w:type="dxa"/>
              <w:bottom w:w="50" w:type="dxa"/>
              <w:right w:w="80" w:type="dxa"/>
            </w:tcMar>
            <w:vAlign w:val="center"/>
          </w:tcPr>
          <w:p>
            <w:pPr>
              <w:spacing w:line="440" w:lineRule="exact"/>
              <w:contextualSpacing/>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132000</w:t>
            </w:r>
          </w:p>
        </w:tc>
      </w:tr>
    </w:tbl>
    <w:p>
      <w:pPr>
        <w:pStyle w:val="9"/>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四、技术标准与要求</w:t>
      </w:r>
    </w:p>
    <w:p>
      <w:pPr>
        <w:pStyle w:val="3"/>
        <w:pageBreakBefore w:val="0"/>
        <w:kinsoku/>
        <w:wordWrap/>
        <w:overflowPunct/>
        <w:topLinePunct w:val="0"/>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val="0"/>
          <w:sz w:val="28"/>
          <w:szCs w:val="28"/>
        </w:rPr>
        <w:t>（一）服务要求</w:t>
      </w:r>
    </w:p>
    <w:p>
      <w:pPr>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1.供应商需提供智能巡考系统软件，并部署到考试院机房，要求能够与全区标准化考场巡查系统对接。</w:t>
      </w:r>
    </w:p>
    <w:p>
      <w:pPr>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w:t>
      </w:r>
      <w:r>
        <w:rPr>
          <w:rStyle w:val="25"/>
          <w:rFonts w:hint="eastAsia" w:ascii="仿宋_GB2312" w:hAnsi="仿宋_GB2312" w:eastAsia="仿宋_GB2312" w:cs="仿宋_GB2312"/>
          <w:b w:val="0"/>
          <w:bCs w:val="0"/>
          <w:sz w:val="28"/>
          <w:szCs w:val="28"/>
          <w:lang w:bidi="ar"/>
        </w:rPr>
        <w:t xml:space="preserve"> </w:t>
      </w:r>
      <w:r>
        <w:rPr>
          <w:rFonts w:hint="eastAsia" w:ascii="仿宋_GB2312" w:hAnsi="仿宋_GB2312" w:eastAsia="仿宋_GB2312" w:cs="仿宋_GB2312"/>
          <w:b w:val="0"/>
          <w:bCs w:val="0"/>
          <w:sz w:val="28"/>
          <w:szCs w:val="28"/>
        </w:rPr>
        <w:t>在自治区端和</w:t>
      </w:r>
      <w:r>
        <w:rPr>
          <w:rFonts w:hint="eastAsia" w:ascii="仿宋_GB2312" w:hAnsi="仿宋_GB2312" w:eastAsia="仿宋_GB2312" w:cs="仿宋_GB2312"/>
          <w:b w:val="0"/>
          <w:bCs w:val="0"/>
          <w:sz w:val="28"/>
          <w:szCs w:val="28"/>
          <w:highlight w:val="none"/>
          <w:lang w:val="en-US" w:eastAsia="zh-CN"/>
        </w:rPr>
        <w:t>54个</w:t>
      </w:r>
      <w:r>
        <w:rPr>
          <w:rFonts w:hint="eastAsia" w:ascii="仿宋_GB2312" w:hAnsi="仿宋_GB2312" w:eastAsia="仿宋_GB2312" w:cs="仿宋_GB2312"/>
          <w:b w:val="0"/>
          <w:bCs w:val="0"/>
          <w:sz w:val="28"/>
          <w:szCs w:val="28"/>
          <w:lang w:val="en-US" w:eastAsia="zh-CN"/>
        </w:rPr>
        <w:t>考点</w:t>
      </w:r>
      <w:r>
        <w:rPr>
          <w:rFonts w:hint="eastAsia" w:ascii="仿宋_GB2312" w:hAnsi="仿宋_GB2312" w:eastAsia="仿宋_GB2312" w:cs="仿宋_GB2312"/>
          <w:b w:val="0"/>
          <w:bCs w:val="0"/>
          <w:sz w:val="28"/>
          <w:szCs w:val="28"/>
        </w:rPr>
        <w:t>需</w:t>
      </w:r>
      <w:r>
        <w:rPr>
          <w:rFonts w:hint="eastAsia" w:ascii="仿宋_GB2312" w:hAnsi="仿宋_GB2312" w:eastAsia="仿宋_GB2312" w:cs="仿宋_GB2312"/>
          <w:b w:val="0"/>
          <w:bCs w:val="0"/>
          <w:sz w:val="28"/>
          <w:szCs w:val="28"/>
          <w:lang w:eastAsia="zh-CN"/>
        </w:rPr>
        <w:t>各</w:t>
      </w:r>
      <w:r>
        <w:rPr>
          <w:rFonts w:hint="eastAsia" w:ascii="仿宋_GB2312" w:hAnsi="仿宋_GB2312" w:eastAsia="仿宋_GB2312" w:cs="仿宋_GB2312"/>
          <w:b w:val="0"/>
          <w:bCs w:val="0"/>
          <w:sz w:val="28"/>
          <w:szCs w:val="28"/>
        </w:rPr>
        <w:t>配备1名技术服务人员，</w:t>
      </w:r>
      <w:r>
        <w:rPr>
          <w:rFonts w:hint="eastAsia" w:ascii="仿宋_GB2312" w:hAnsi="仿宋_GB2312" w:eastAsia="仿宋_GB2312" w:cs="仿宋_GB2312"/>
          <w:b w:val="0"/>
          <w:bCs w:val="0"/>
          <w:sz w:val="28"/>
          <w:szCs w:val="28"/>
          <w:lang w:val="en-US" w:eastAsia="zh-CN"/>
        </w:rPr>
        <w:t>12个盟市</w:t>
      </w:r>
      <w:r>
        <w:rPr>
          <w:rFonts w:hint="eastAsia" w:ascii="仿宋_GB2312" w:hAnsi="仿宋_GB2312" w:eastAsia="仿宋_GB2312" w:cs="仿宋_GB2312"/>
          <w:b w:val="0"/>
          <w:bCs w:val="0"/>
          <w:sz w:val="28"/>
          <w:szCs w:val="28"/>
        </w:rPr>
        <w:t>每个</w:t>
      </w:r>
      <w:r>
        <w:rPr>
          <w:rFonts w:hint="eastAsia" w:ascii="仿宋_GB2312" w:hAnsi="仿宋_GB2312" w:eastAsia="仿宋_GB2312" w:cs="仿宋_GB2312"/>
          <w:b w:val="0"/>
          <w:bCs w:val="0"/>
          <w:sz w:val="28"/>
          <w:szCs w:val="28"/>
          <w:lang w:val="en-US" w:eastAsia="zh-CN"/>
        </w:rPr>
        <w:t>考区</w:t>
      </w:r>
      <w:r>
        <w:rPr>
          <w:rFonts w:hint="eastAsia" w:ascii="仿宋_GB2312" w:hAnsi="仿宋_GB2312" w:eastAsia="仿宋_GB2312" w:cs="仿宋_GB2312"/>
          <w:b w:val="0"/>
          <w:bCs w:val="0"/>
          <w:sz w:val="28"/>
          <w:szCs w:val="28"/>
        </w:rPr>
        <w:t>配备≥2名流动技术人员，提前调试好设备，并全程保障考试顺利进行。</w:t>
      </w:r>
    </w:p>
    <w:p>
      <w:pPr>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rPr>
        <w:t>.</w:t>
      </w:r>
      <w:r>
        <w:rPr>
          <w:rStyle w:val="25"/>
          <w:rFonts w:hint="eastAsia" w:ascii="仿宋_GB2312" w:hAnsi="仿宋_GB2312" w:eastAsia="仿宋_GB2312" w:cs="仿宋_GB2312"/>
          <w:b w:val="0"/>
          <w:bCs w:val="0"/>
          <w:sz w:val="28"/>
          <w:szCs w:val="28"/>
          <w:lang w:bidi="ar"/>
        </w:rPr>
        <w:t xml:space="preserve"> </w:t>
      </w:r>
      <w:r>
        <w:rPr>
          <w:rFonts w:hint="eastAsia" w:ascii="仿宋_GB2312" w:hAnsi="仿宋_GB2312" w:eastAsia="仿宋_GB2312" w:cs="仿宋_GB2312"/>
          <w:b w:val="0"/>
          <w:bCs w:val="0"/>
          <w:sz w:val="28"/>
          <w:szCs w:val="28"/>
        </w:rPr>
        <w:t>供应商须作出书面承诺，服务系统对考生身份信息、行为轨迹等敏感数据实施全链路算法加密，确保数据存储、传输、销毁过程可审计。</w:t>
      </w:r>
    </w:p>
    <w:p>
      <w:pPr>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t>.</w:t>
      </w:r>
      <w:r>
        <w:rPr>
          <w:rStyle w:val="25"/>
          <w:rFonts w:hint="eastAsia" w:ascii="仿宋_GB2312" w:hAnsi="仿宋_GB2312" w:eastAsia="仿宋_GB2312" w:cs="仿宋_GB2312"/>
          <w:b w:val="0"/>
          <w:bCs w:val="0"/>
          <w:sz w:val="28"/>
          <w:szCs w:val="28"/>
          <w:lang w:bidi="ar"/>
        </w:rPr>
        <w:t xml:space="preserve"> </w:t>
      </w:r>
      <w:r>
        <w:rPr>
          <w:rFonts w:hint="eastAsia" w:ascii="仿宋_GB2312" w:hAnsi="仿宋_GB2312" w:eastAsia="仿宋_GB2312" w:cs="仿宋_GB2312"/>
          <w:b w:val="0"/>
          <w:bCs w:val="0"/>
          <w:sz w:val="28"/>
          <w:szCs w:val="28"/>
        </w:rPr>
        <w:t>供应商须作出书面承诺，承诺在招标全周期及合同履行期间严格保守与智能巡考系统相关的技术方案、业务逻辑及客户信息等敏感内容，未经采购人书面许可不得向第三方披露。</w:t>
      </w:r>
    </w:p>
    <w:p>
      <w:pPr>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w:t>
      </w:r>
      <w:r>
        <w:rPr>
          <w:rFonts w:hint="eastAsia" w:ascii="仿宋_GB2312" w:hAnsi="仿宋_GB2312" w:eastAsia="仿宋_GB2312" w:cs="仿宋_GB2312"/>
          <w:bCs/>
          <w:color w:val="auto"/>
          <w:kern w:val="2"/>
          <w:sz w:val="28"/>
          <w:szCs w:val="28"/>
          <w:shd w:val="clear" w:color="auto" w:fill="auto"/>
          <w:lang w:val="en-US" w:eastAsia="zh-CN" w:bidi="ar-SA"/>
        </w:rPr>
        <w:t>提供网络专线服务（端到端光纤数字电路专网服务）。</w:t>
      </w:r>
    </w:p>
    <w:p>
      <w:pPr>
        <w:pStyle w:val="3"/>
        <w:pageBreakBefore w:val="0"/>
        <w:kinsoku/>
        <w:wordWrap/>
        <w:overflowPunct/>
        <w:topLinePunct w:val="0"/>
        <w:bidi w:val="0"/>
        <w:adjustRightInd/>
        <w:snapToGrid/>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（二）功能要求</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rPr>
        <w:t>. 提供全面的考试计划管理功能，涵盖计划配置、向考点下发计划等操作；</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 具备完善的用户管理体系，可完成用户账号创建、角色权限设定；</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rPr>
        <w:t>. 实现电子地图上的数据可视化展示，支持地图下钻，以便查看所辖范围的各类数据，包括统计数据及考点异常事件记录；</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t>. 支持查看考点上报的告警数据，并可依据场次、判定结果、行为类型、考场名称不少于四个维度进行数据筛选；</w:t>
      </w:r>
    </w:p>
    <w:p>
      <w:pPr>
        <w:keepNext w:val="0"/>
        <w:keepLines w:val="0"/>
        <w:pageBreakBefore w:val="0"/>
        <w:widowControl/>
        <w:suppressLineNumbers w:val="0"/>
        <w:kinsoku/>
        <w:wordWrap/>
        <w:overflowPunct/>
        <w:topLinePunct w:val="0"/>
        <w:bidi w:val="0"/>
        <w:adjustRightInd/>
        <w:snapToGrid/>
        <w:ind w:firstLine="560" w:firstLineChars="200"/>
        <w:jc w:val="lef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5</w:t>
      </w:r>
      <w:r>
        <w:rPr>
          <w:rFonts w:hint="eastAsia" w:ascii="仿宋_GB2312" w:hAnsi="仿宋_GB2312" w:eastAsia="仿宋_GB2312" w:cs="仿宋_GB2312"/>
          <w:b w:val="0"/>
          <w:bCs w:val="0"/>
          <w:sz w:val="28"/>
          <w:szCs w:val="28"/>
        </w:rPr>
        <w:t>. 提供考试异常告警事件统计功能，可从告警行为、场次、考点不少于三个维度进行统计，并能按需导出</w:t>
      </w:r>
      <w:r>
        <w:rPr>
          <w:rFonts w:hint="eastAsia" w:ascii="仿宋_GB2312" w:hAnsi="仿宋_GB2312" w:eastAsia="仿宋_GB2312" w:cs="仿宋_GB2312"/>
          <w:b w:val="0"/>
          <w:bCs w:val="0"/>
          <w:kern w:val="0"/>
          <w:sz w:val="28"/>
          <w:szCs w:val="28"/>
          <w:lang w:val="en-US" w:eastAsia="zh-CN" w:bidi="ar"/>
        </w:rPr>
        <w:t>Excel</w:t>
      </w:r>
      <w:r>
        <w:rPr>
          <w:rFonts w:hint="eastAsia" w:ascii="仿宋_GB2312" w:hAnsi="仿宋_GB2312" w:eastAsia="仿宋_GB2312" w:cs="仿宋_GB2312"/>
          <w:b w:val="0"/>
          <w:bCs w:val="0"/>
          <w:sz w:val="28"/>
          <w:szCs w:val="28"/>
        </w:rPr>
        <w:t>报表；</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 支持查看当次考试计划的总览看板，其中包含考试信息、异常告警统计、异常类型统计以及标记违规记录；</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rPr>
        <w:t>. 提供全面的用户和权限管理功能，可设定管辖范围内用户、组、角色的权限，用户管理涵盖用户注册、查询、增加删除、访问权限管理、锁定和解锁、分组管理、访问记录查看等功能</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8</w:t>
      </w:r>
      <w:r>
        <w:rPr>
          <w:rFonts w:hint="eastAsia" w:ascii="仿宋_GB2312" w:hAnsi="仿宋_GB2312" w:eastAsia="仿宋_GB2312" w:cs="仿宋_GB2312"/>
          <w:b w:val="0"/>
          <w:bCs w:val="0"/>
          <w:sz w:val="28"/>
          <w:szCs w:val="28"/>
        </w:rPr>
        <w:t>. 支持系统管理员添加、删除、修改组、用户、设备，为远程用户设定视频浏览权限、前端设备控制权限和历史数据的删除、复制、浏览等操作权限</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rPr>
        <w:t>.支持系统管理员收回权限，远程用户权限可精确到每个教室（考场）的图像访问、控制、历史数据播放</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0</w:t>
      </w:r>
      <w:r>
        <w:rPr>
          <w:rFonts w:hint="eastAsia" w:ascii="仿宋_GB2312" w:hAnsi="仿宋_GB2312" w:eastAsia="仿宋_GB2312" w:cs="仿宋_GB2312"/>
          <w:b w:val="0"/>
          <w:bCs w:val="0"/>
          <w:sz w:val="28"/>
          <w:szCs w:val="28"/>
        </w:rPr>
        <w:t>. 支持用户的接入认证以及安全锁定，可高效进行用户、设备在线信息统计，将设备数据完整同步到上级机构</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rPr>
        <w:t>. 支持机构拓扑、设备拓扑图形化操作及呈现，支持机构拓扑图实时显示网络视频流量</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 支持日志管理查询，可搜索查看系统日志、告警日志、操作日志</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rPr>
        <w:t>. 支持设备主动注册到管理平台进行设备管理</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t>. 支持通过 WEB 浏览器便捷访问管理平台</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5</w:t>
      </w:r>
      <w:r>
        <w:rPr>
          <w:rFonts w:hint="eastAsia" w:ascii="仿宋_GB2312" w:hAnsi="仿宋_GB2312" w:eastAsia="仿宋_GB2312" w:cs="仿宋_GB2312"/>
          <w:b w:val="0"/>
          <w:bCs w:val="0"/>
          <w:sz w:val="28"/>
          <w:szCs w:val="28"/>
        </w:rPr>
        <w:t>. 支持系统核心数据库的备份</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 支持巡查事务功能，包括系统的考试计划管理、编排任务管理、考点巡检及统计、机构或设备注册情况查看</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17</w:t>
      </w:r>
      <w:r>
        <w:rPr>
          <w:rFonts w:hint="eastAsia" w:ascii="仿宋_GB2312" w:hAnsi="仿宋_GB2312" w:eastAsia="仿宋_GB2312" w:cs="仿宋_GB2312"/>
          <w:b w:val="0"/>
          <w:bCs w:val="0"/>
          <w:sz w:val="28"/>
          <w:szCs w:val="28"/>
        </w:rPr>
        <w:t>. 具备强大的智能分析并发能力，可高效进行考生个体行为、监考行为、考生群体行为智能监测</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18</w:t>
      </w:r>
      <w:r>
        <w:rPr>
          <w:rFonts w:hint="eastAsia" w:ascii="仿宋_GB2312" w:hAnsi="仿宋_GB2312" w:eastAsia="仿宋_GB2312" w:cs="仿宋_GB2312"/>
          <w:b w:val="0"/>
          <w:bCs w:val="0"/>
          <w:sz w:val="28"/>
          <w:szCs w:val="28"/>
        </w:rPr>
        <w:t>. 支持告警等级配置，可自定义每个行为的告警等级，为每个告警等级配置多样化的预警方式</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19</w:t>
      </w:r>
      <w:r>
        <w:rPr>
          <w:rFonts w:hint="eastAsia" w:ascii="仿宋_GB2312" w:hAnsi="仿宋_GB2312" w:eastAsia="仿宋_GB2312" w:cs="仿宋_GB2312"/>
          <w:b w:val="0"/>
          <w:bCs w:val="0"/>
          <w:sz w:val="28"/>
          <w:szCs w:val="28"/>
        </w:rPr>
        <w:t>. 支持考试计划模板管理、监测参数模板管理，便于快速调用</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val="en-US" w:eastAsia="zh-CN"/>
        </w:rPr>
        <w:t>0</w:t>
      </w:r>
      <w:r>
        <w:rPr>
          <w:rFonts w:hint="eastAsia" w:ascii="仿宋_GB2312" w:hAnsi="仿宋_GB2312" w:eastAsia="仿宋_GB2312" w:cs="仿宋_GB2312"/>
          <w:b w:val="0"/>
          <w:bCs w:val="0"/>
          <w:sz w:val="28"/>
          <w:szCs w:val="28"/>
        </w:rPr>
        <w:t>. 支持考试计划管理，实现对 AI 行为分析任务的全面管理，包括考试信息配置、监考考场选择、审核员选择以及监考任务分配</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rPr>
        <w:t>. 支持视频审核，实现对 AI 自动识别的告警事件的人工复核，复核支持初审和复审，可按场次、类型、审核状态、考场名称、告警等级精准筛选告警事件</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 支持查询考试告警记录、考务规范记录、考试统计数据，包括查看审核记录、异常行为截图和视频片段等数据，实现</w:t>
      </w:r>
      <w:r>
        <w:rPr>
          <w:rFonts w:hint="eastAsia" w:ascii="仿宋_GB2312" w:hAnsi="仿宋_GB2312" w:eastAsia="仿宋_GB2312" w:cs="仿宋_GB2312"/>
          <w:b w:val="0"/>
          <w:bCs w:val="0"/>
          <w:sz w:val="28"/>
          <w:szCs w:val="28"/>
          <w:lang w:val="en-US" w:eastAsia="zh-CN"/>
        </w:rPr>
        <w:t>记录信息、截图、录像片段等</w:t>
      </w:r>
      <w:r>
        <w:rPr>
          <w:rFonts w:hint="eastAsia" w:ascii="仿宋_GB2312" w:hAnsi="仿宋_GB2312" w:eastAsia="仿宋_GB2312" w:cs="仿宋_GB2312"/>
          <w:b w:val="0"/>
          <w:bCs w:val="0"/>
          <w:sz w:val="28"/>
          <w:szCs w:val="28"/>
        </w:rPr>
        <w:t>的快速获取</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rPr>
        <w:t>. 提供总览看板，汇总展示所选考试计划的各项业务数据</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t>. 支持业务数据查看，包括审核员处理情况、标记违规数据、考务规范完成率、考场异常告警统计和异常行为类型统计，并支持按场次查看</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val="en-US" w:eastAsia="zh-CN"/>
        </w:rPr>
        <w:t>5</w:t>
      </w:r>
      <w:r>
        <w:rPr>
          <w:rFonts w:hint="eastAsia" w:ascii="仿宋_GB2312" w:hAnsi="仿宋_GB2312" w:eastAsia="仿宋_GB2312" w:cs="仿宋_GB2312"/>
          <w:b w:val="0"/>
          <w:bCs w:val="0"/>
          <w:sz w:val="28"/>
          <w:szCs w:val="28"/>
        </w:rPr>
        <w:t>. 支持数据导出，可根据实际需求灵活选择导出的数据包含</w:t>
      </w:r>
      <w:r>
        <w:rPr>
          <w:rFonts w:hint="eastAsia" w:ascii="仿宋_GB2312" w:hAnsi="仿宋_GB2312" w:eastAsia="仿宋_GB2312" w:cs="仿宋_GB2312"/>
          <w:b w:val="0"/>
          <w:bCs w:val="0"/>
          <w:sz w:val="28"/>
          <w:szCs w:val="28"/>
          <w:lang w:val="en-US" w:eastAsia="zh-CN"/>
        </w:rPr>
        <w:t>JPG格式的</w:t>
      </w:r>
      <w:r>
        <w:rPr>
          <w:rFonts w:hint="eastAsia" w:ascii="仿宋_GB2312" w:hAnsi="仿宋_GB2312" w:eastAsia="仿宋_GB2312" w:cs="仿宋_GB2312"/>
          <w:b w:val="0"/>
          <w:bCs w:val="0"/>
          <w:sz w:val="28"/>
          <w:szCs w:val="28"/>
        </w:rPr>
        <w:t>图片、包含</w:t>
      </w:r>
      <w:r>
        <w:rPr>
          <w:rFonts w:hint="eastAsia" w:ascii="仿宋_GB2312" w:hAnsi="仿宋_GB2312" w:eastAsia="仿宋_GB2312" w:cs="仿宋_GB2312"/>
          <w:b w:val="0"/>
          <w:bCs w:val="0"/>
          <w:sz w:val="28"/>
          <w:szCs w:val="28"/>
          <w:lang w:val="en-US" w:eastAsia="zh-CN"/>
        </w:rPr>
        <w:t>MP4格式的</w:t>
      </w:r>
      <w:r>
        <w:rPr>
          <w:rFonts w:hint="eastAsia" w:ascii="仿宋_GB2312" w:hAnsi="仿宋_GB2312" w:eastAsia="仿宋_GB2312" w:cs="仿宋_GB2312"/>
          <w:b w:val="0"/>
          <w:bCs w:val="0"/>
          <w:sz w:val="28"/>
          <w:szCs w:val="28"/>
        </w:rPr>
        <w:t>视频，满足多样化的</w:t>
      </w:r>
      <w:r>
        <w:rPr>
          <w:rFonts w:hint="eastAsia" w:ascii="仿宋_GB2312" w:hAnsi="仿宋_GB2312" w:eastAsia="仿宋_GB2312" w:cs="仿宋_GB2312"/>
          <w:b w:val="0"/>
          <w:bCs w:val="0"/>
          <w:kern w:val="0"/>
          <w:sz w:val="28"/>
          <w:szCs w:val="28"/>
          <w:lang w:val="en-US" w:eastAsia="zh-CN" w:bidi="ar"/>
        </w:rPr>
        <w:t>Excel</w:t>
      </w:r>
      <w:r>
        <w:rPr>
          <w:rFonts w:hint="eastAsia" w:ascii="仿宋_GB2312" w:hAnsi="仿宋_GB2312" w:eastAsia="仿宋_GB2312" w:cs="仿宋_GB2312"/>
          <w:b w:val="0"/>
          <w:bCs w:val="0"/>
          <w:sz w:val="28"/>
          <w:szCs w:val="28"/>
        </w:rPr>
        <w:t>报表需求</w:t>
      </w:r>
      <w:r>
        <w:rPr>
          <w:rFonts w:hint="eastAsia" w:ascii="仿宋_GB2312" w:hAnsi="仿宋_GB2312" w:eastAsia="仿宋_GB2312" w:cs="仿宋_GB2312"/>
          <w:b w:val="0"/>
          <w:bCs w:val="0"/>
          <w:sz w:val="28"/>
          <w:szCs w:val="28"/>
          <w:lang w:eastAsia="zh-CN"/>
        </w:rPr>
        <w:t>；</w:t>
      </w:r>
    </w:p>
    <w:p>
      <w:pPr>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bCs/>
          <w:sz w:val="28"/>
          <w:szCs w:val="28"/>
          <w:highlight w:val="yellow"/>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rPr>
        <w:t>智能分析并发能力：具备强大的智能分析并发性能，</w:t>
      </w:r>
      <w:r>
        <w:rPr>
          <w:rFonts w:hint="eastAsia" w:ascii="仿宋_GB2312" w:hAnsi="仿宋_GB2312" w:eastAsia="仿宋_GB2312" w:cs="仿宋_GB2312"/>
          <w:b w:val="0"/>
          <w:bCs w:val="0"/>
          <w:sz w:val="28"/>
          <w:szCs w:val="28"/>
          <w:highlight w:val="none"/>
        </w:rPr>
        <w:t>可稳定支持≥80 路视频流同时进行行为智能分析</w:t>
      </w:r>
      <w:r>
        <w:rPr>
          <w:rFonts w:hint="eastAsia" w:ascii="仿宋_GB2312" w:hAnsi="仿宋_GB2312" w:eastAsia="仿宋_GB2312" w:cs="仿宋_GB2312"/>
          <w:b w:val="0"/>
          <w:bCs w:val="0"/>
          <w:sz w:val="28"/>
          <w:szCs w:val="28"/>
          <w:highlight w:val="none"/>
          <w:lang w:eastAsia="zh-CN"/>
        </w:rPr>
        <w:t>；</w:t>
      </w:r>
      <w:bookmarkStart w:id="0" w:name="_GoBack"/>
      <w:bookmarkEnd w:id="0"/>
    </w:p>
    <w:p>
      <w:pPr>
        <w:pStyle w:val="9"/>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lang w:val="en-US" w:eastAsia="zh-CN"/>
        </w:rPr>
        <w:t>27</w:t>
      </w:r>
      <w:r>
        <w:rPr>
          <w:rFonts w:hint="eastAsia" w:ascii="仿宋_GB2312" w:hAnsi="仿宋_GB2312" w:eastAsia="仿宋_GB2312" w:cs="仿宋_GB2312"/>
          <w:b w:val="0"/>
          <w:bCs w:val="0"/>
          <w:color w:val="auto"/>
          <w:sz w:val="28"/>
          <w:szCs w:val="28"/>
        </w:rPr>
        <w:t>.</w:t>
      </w:r>
      <w:r>
        <w:rPr>
          <w:rFonts w:hint="eastAsia" w:ascii="仿宋_GB2312" w:hAnsi="仿宋_GB2312" w:eastAsia="仿宋_GB2312" w:cs="仿宋_GB2312"/>
          <w:b w:val="0"/>
          <w:bCs w:val="0"/>
          <w:color w:val="auto"/>
          <w:sz w:val="28"/>
          <w:szCs w:val="28"/>
          <w:lang w:val="en-US" w:eastAsia="zh-CN"/>
        </w:rPr>
        <w:t xml:space="preserve"> </w:t>
      </w:r>
      <w:r>
        <w:rPr>
          <w:rFonts w:hint="eastAsia" w:ascii="仿宋_GB2312" w:hAnsi="仿宋_GB2312" w:eastAsia="仿宋_GB2312" w:cs="仿宋_GB2312"/>
          <w:b w:val="0"/>
          <w:bCs w:val="0"/>
          <w:color w:val="auto"/>
          <w:sz w:val="28"/>
          <w:szCs w:val="28"/>
        </w:rPr>
        <w:t>支持全面的考生个体行为智能监测：能够精准识别不少于11 种考生个体行为，涵盖诸如提前开始作答、考生举手示意、传递可疑物品、捡拾可疑物品、携带可疑物品进入考场、考生无故站立、向后过度偏头、左右大幅偏头、手长时间放于桌下且埋头、中途随意出入考场、考试结束后仍继续作答等行为</w:t>
      </w:r>
      <w:r>
        <w:rPr>
          <w:rFonts w:hint="eastAsia" w:ascii="仿宋_GB2312" w:hAnsi="仿宋_GB2312" w:eastAsia="仿宋_GB2312" w:cs="仿宋_GB2312"/>
          <w:b w:val="0"/>
          <w:bCs w:val="0"/>
          <w:color w:val="auto"/>
          <w:sz w:val="28"/>
          <w:szCs w:val="28"/>
          <w:lang w:eastAsia="zh-CN"/>
        </w:rPr>
        <w:t>；</w:t>
      </w:r>
      <w:r>
        <w:rPr>
          <w:rFonts w:hint="eastAsia" w:ascii="仿宋_GB2312" w:hAnsi="仿宋_GB2312" w:eastAsia="仿宋_GB2312" w:cs="仿宋_GB2312"/>
          <w:b w:val="0"/>
          <w:bCs w:val="0"/>
          <w:color w:val="auto"/>
          <w:kern w:val="0"/>
          <w:sz w:val="28"/>
          <w:szCs w:val="28"/>
          <w:lang w:bidi="ar"/>
        </w:rPr>
        <w:t>（均需提供第三方检测报告证明）</w:t>
      </w:r>
    </w:p>
    <w:p>
      <w:pPr>
        <w:pStyle w:val="9"/>
        <w:pageBreakBefore w:val="0"/>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lang w:val="en-US" w:eastAsia="zh-CN"/>
        </w:rPr>
        <w:t>28</w:t>
      </w:r>
      <w:r>
        <w:rPr>
          <w:rFonts w:hint="eastAsia" w:ascii="仿宋_GB2312" w:hAnsi="仿宋_GB2312" w:eastAsia="仿宋_GB2312" w:cs="仿宋_GB2312"/>
          <w:b w:val="0"/>
          <w:bCs w:val="0"/>
          <w:color w:val="auto"/>
          <w:sz w:val="28"/>
          <w:szCs w:val="28"/>
        </w:rPr>
        <w:t>.</w:t>
      </w:r>
      <w:r>
        <w:rPr>
          <w:rFonts w:hint="eastAsia" w:ascii="仿宋_GB2312" w:hAnsi="仿宋_GB2312" w:eastAsia="仿宋_GB2312" w:cs="仿宋_GB2312"/>
          <w:b w:val="0"/>
          <w:bCs w:val="0"/>
          <w:color w:val="auto"/>
          <w:sz w:val="28"/>
          <w:szCs w:val="28"/>
          <w:lang w:val="en-US" w:eastAsia="zh-CN"/>
        </w:rPr>
        <w:t xml:space="preserve"> </w:t>
      </w:r>
      <w:r>
        <w:rPr>
          <w:rFonts w:hint="eastAsia" w:ascii="仿宋_GB2312" w:hAnsi="仿宋_GB2312" w:eastAsia="仿宋_GB2312" w:cs="仿宋_GB2312"/>
          <w:b w:val="0"/>
          <w:bCs w:val="0"/>
          <w:color w:val="auto"/>
          <w:sz w:val="28"/>
          <w:szCs w:val="28"/>
          <w:lang w:eastAsia="zh-CN"/>
        </w:rPr>
        <w:t>支持</w:t>
      </w:r>
      <w:r>
        <w:rPr>
          <w:rFonts w:hint="eastAsia" w:ascii="仿宋_GB2312" w:hAnsi="仿宋_GB2312" w:eastAsia="仿宋_GB2312" w:cs="仿宋_GB2312"/>
          <w:b w:val="0"/>
          <w:bCs w:val="0"/>
          <w:color w:val="auto"/>
          <w:sz w:val="28"/>
          <w:szCs w:val="28"/>
        </w:rPr>
        <w:t>具体的监考行为智能监测：可有效监测不少于13 种监考行为，包含监考员未在规定时间及时到达考场、监考员过早发放试卷 / 答题卡、监考员未在规定时间发放试卷 / 答题卡、监考员发卷操作不规范、监考员未认真核对钟表时间、监考员未按要求展示试卷 / 答题卡袋、监考员疑似擅自离场、监考员在固定区域停留时长超出合理范围、监考员在考生旁边停留时间过长、监考员之间聚集交流时间过长、监考员提前收卷、监考员延迟收卷、监考员未在讲台履行监督收卷职责等情况</w:t>
      </w:r>
      <w:r>
        <w:rPr>
          <w:rFonts w:hint="eastAsia" w:ascii="仿宋_GB2312" w:hAnsi="仿宋_GB2312" w:eastAsia="仿宋_GB2312" w:cs="仿宋_GB2312"/>
          <w:b w:val="0"/>
          <w:bCs w:val="0"/>
          <w:color w:val="auto"/>
          <w:sz w:val="28"/>
          <w:szCs w:val="28"/>
          <w:lang w:eastAsia="zh-CN"/>
        </w:rPr>
        <w:t>；</w:t>
      </w:r>
      <w:r>
        <w:rPr>
          <w:rFonts w:hint="eastAsia" w:ascii="仿宋_GB2312" w:hAnsi="仿宋_GB2312" w:eastAsia="仿宋_GB2312" w:cs="仿宋_GB2312"/>
          <w:b w:val="0"/>
          <w:bCs w:val="0"/>
          <w:color w:val="auto"/>
          <w:kern w:val="0"/>
          <w:sz w:val="28"/>
          <w:szCs w:val="28"/>
          <w:lang w:bidi="ar"/>
        </w:rPr>
        <w:t>（均需提供第三方检测报告证明）</w:t>
      </w:r>
    </w:p>
    <w:p>
      <w:pPr>
        <w:pStyle w:val="9"/>
        <w:pageBreakBefore w:val="0"/>
        <w:kinsoku/>
        <w:wordWrap/>
        <w:overflowPunct/>
        <w:topLinePunct w:val="0"/>
        <w:bidi w:val="0"/>
        <w:adjustRightInd/>
        <w:snapToGrid/>
        <w:ind w:firstLine="560" w:firstLineChars="200"/>
        <w:jc w:val="both"/>
        <w:textAlignment w:val="auto"/>
        <w:rPr>
          <w:rFonts w:hint="eastAsia" w:ascii="仿宋_GB2312" w:hAnsi="仿宋_GB2312" w:eastAsia="仿宋_GB2312" w:cs="仿宋_GB2312"/>
          <w:b w:val="0"/>
          <w:bCs w:val="0"/>
          <w:color w:val="auto"/>
          <w:kern w:val="0"/>
          <w:sz w:val="28"/>
          <w:szCs w:val="28"/>
          <w:lang w:bidi="ar"/>
        </w:rPr>
      </w:pPr>
      <w:r>
        <w:rPr>
          <w:rFonts w:hint="eastAsia" w:ascii="仿宋_GB2312" w:hAnsi="仿宋_GB2312" w:eastAsia="仿宋_GB2312" w:cs="仿宋_GB2312"/>
          <w:b w:val="0"/>
          <w:bCs w:val="0"/>
          <w:color w:val="auto"/>
          <w:sz w:val="28"/>
          <w:szCs w:val="28"/>
          <w:lang w:val="en-US" w:eastAsia="zh-CN"/>
        </w:rPr>
        <w:t>29</w:t>
      </w:r>
      <w:r>
        <w:rPr>
          <w:rFonts w:hint="eastAsia" w:ascii="仿宋_GB2312" w:hAnsi="仿宋_GB2312" w:eastAsia="仿宋_GB2312" w:cs="仿宋_GB2312"/>
          <w:b w:val="0"/>
          <w:bCs w:val="0"/>
          <w:color w:val="auto"/>
          <w:sz w:val="28"/>
          <w:szCs w:val="28"/>
        </w:rPr>
        <w:t>.</w:t>
      </w:r>
      <w:r>
        <w:rPr>
          <w:rFonts w:hint="eastAsia" w:ascii="仿宋_GB2312" w:hAnsi="仿宋_GB2312" w:eastAsia="仿宋_GB2312" w:cs="仿宋_GB2312"/>
          <w:b w:val="0"/>
          <w:bCs w:val="0"/>
          <w:color w:val="auto"/>
          <w:sz w:val="28"/>
          <w:szCs w:val="28"/>
          <w:lang w:val="en-US" w:eastAsia="zh-CN"/>
        </w:rPr>
        <w:t xml:space="preserve"> </w:t>
      </w:r>
      <w:r>
        <w:rPr>
          <w:rFonts w:hint="eastAsia" w:ascii="仿宋_GB2312" w:hAnsi="仿宋_GB2312" w:eastAsia="仿宋_GB2312" w:cs="仿宋_GB2312"/>
          <w:b w:val="0"/>
          <w:bCs w:val="0"/>
          <w:color w:val="auto"/>
          <w:sz w:val="28"/>
          <w:szCs w:val="28"/>
        </w:rPr>
        <w:t>支持多元的考生群体行为智能监测：能够敏锐捕捉不少于6 种考生群体行为，例如考生群体在考试过程中集体停止作答、考生群体同时举手、考生群体集体站立、考生群体相互交头接耳、多人同时向同一方向明显偏头、群体在考试结束后仍继续作答等群体性行为</w:t>
      </w:r>
      <w:r>
        <w:rPr>
          <w:rFonts w:hint="eastAsia" w:ascii="仿宋_GB2312" w:hAnsi="仿宋_GB2312" w:eastAsia="仿宋_GB2312" w:cs="仿宋_GB2312"/>
          <w:b w:val="0"/>
          <w:bCs w:val="0"/>
          <w:color w:val="auto"/>
          <w:sz w:val="28"/>
          <w:szCs w:val="28"/>
          <w:lang w:eastAsia="zh-CN"/>
        </w:rPr>
        <w:t>。</w:t>
      </w:r>
      <w:r>
        <w:rPr>
          <w:rFonts w:hint="eastAsia" w:ascii="仿宋_GB2312" w:hAnsi="仿宋_GB2312" w:eastAsia="仿宋_GB2312" w:cs="仿宋_GB2312"/>
          <w:b w:val="0"/>
          <w:bCs w:val="0"/>
          <w:color w:val="auto"/>
          <w:kern w:val="0"/>
          <w:sz w:val="28"/>
          <w:szCs w:val="28"/>
          <w:lang w:bidi="ar"/>
        </w:rPr>
        <w:t>（均需提供第三方检测报告证明）</w:t>
      </w:r>
    </w:p>
    <w:p>
      <w:pPr>
        <w:pStyle w:val="3"/>
        <w:pageBreakBefore w:val="0"/>
        <w:kinsoku/>
        <w:wordWrap/>
        <w:overflowPunct/>
        <w:topLinePunct w:val="0"/>
        <w:bidi w:val="0"/>
        <w:adjustRightInd/>
        <w:snapToGrid/>
        <w:ind w:firstLine="560" w:firstLineChars="200"/>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lang w:val="en-US" w:eastAsia="zh-CN"/>
        </w:rPr>
        <w:t>三</w:t>
      </w: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lang w:val="en-US" w:eastAsia="zh-CN"/>
        </w:rPr>
        <w:t>考点明细</w:t>
      </w:r>
    </w:p>
    <w:tbl>
      <w:tblPr>
        <w:tblStyle w:val="11"/>
        <w:tblW w:w="7658"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93"/>
        <w:gridCol w:w="1017"/>
        <w:gridCol w:w="1017"/>
        <w:gridCol w:w="1017"/>
        <w:gridCol w:w="10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考点名称</w:t>
            </w:r>
          </w:p>
        </w:tc>
        <w:tc>
          <w:tcPr>
            <w:tcW w:w="4068" w:type="dxa"/>
            <w:gridSpan w:val="4"/>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考场数量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第一场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第三场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第四场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呼和浩特市第六中学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呼和浩特市第十九中学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呼和浩特市第三十四中学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内蒙古大学附属中学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呼和浩特市铁路第一中学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内蒙古师范大学附属第三学校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呼和浩特市第一中学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呼和浩特市第二中学呼伦校区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内蒙古师范大学附属中学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呼和浩特市第十四中学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呼和浩特市第三十九中学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呼和浩特市第三十中学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内蒙古鸿德文理学院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包头市第九十六中学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包头市第九十七中学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包头市第九中学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包头市第九十三中学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包头市第八十一中学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包头市第四中学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乌海市第六中学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赤峰实验小学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赤峰红旗中学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赤峰新城红旗中学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松山区第四中学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海拉尔第二中学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海拉尔区第三中学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呼伦贝尔学院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乌兰浩特第一中学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通辽一中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通辽五中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通辽二中（原通辽蒙中）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锡林浩特市第六中学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锡林郭勒盟第一中学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集宁区第六中学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集宁区第四中学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内蒙古集宁一中榆树湾校区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康巴什区高级中学(市一中东校区)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康巴什区实验中学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伊金霍洛旗第一中学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鄂市第一中学伊金霍洛分校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巴彦淖尔职业技术学校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金川学校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巴彦淖尔市第一职业学校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阿拉善左旗第九中学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内蒙古工业大学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内蒙古医科大学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内蒙古农业大学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内蒙古科技大学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内蒙古师范大学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内蒙古民族大学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内蒙古财经大学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内蒙古科技大学包头医学院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赤峰学院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19</w:t>
            </w:r>
          </w:p>
        </w:tc>
      </w:tr>
    </w:tbl>
    <w:p>
      <w:pPr>
        <w:pStyle w:val="9"/>
        <w:jc w:val="both"/>
        <w:rPr>
          <w:rFonts w:hint="eastAsia" w:ascii="仿宋_GB2312" w:hAnsi="仿宋_GB2312" w:eastAsia="仿宋_GB2312" w:cs="仿宋_GB2312"/>
          <w:b w:val="0"/>
          <w:bCs w:val="0"/>
          <w:color w:val="auto"/>
          <w:kern w:val="0"/>
          <w:sz w:val="28"/>
          <w:szCs w:val="28"/>
          <w:lang w:eastAsia="zh-CN" w:bidi="ar"/>
        </w:rPr>
      </w:pPr>
    </w:p>
    <w:sectPr>
      <w:footerReference r:id="rId3" w:type="default"/>
      <w:pgSz w:w="11906" w:h="16838"/>
      <w:pgMar w:top="1276"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汉仪书宋二KW"/>
    <w:panose1 w:val="02010600030101010101"/>
    <w:charset w:val="7A"/>
    <w:family w:val="auto"/>
    <w:pitch w:val="default"/>
    <w:sig w:usb0="00000000" w:usb1="00000000" w:usb2="00000006"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Light">
    <w:altName w:val="Noto Serif CJK SC"/>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等线">
    <w:altName w:val="汉仪中等线KW"/>
    <w:panose1 w:val="02010600030101010101"/>
    <w:charset w:val="86"/>
    <w:family w:val="auto"/>
    <w:pitch w:val="default"/>
    <w:sig w:usb0="00000000" w:usb1="00000000" w:usb2="00000016" w:usb3="00000000" w:csb0="0004000F" w:csb1="00000000"/>
  </w:font>
  <w:font w:name="方正小标宋简体">
    <w:altName w:val="汉仪书宋二KW"/>
    <w:panose1 w:val="03000509000000000000"/>
    <w:charset w:val="86"/>
    <w:family w:val="auto"/>
    <w:pitch w:val="default"/>
    <w:sig w:usb0="00000000" w:usb1="00000000" w:usb2="00000000" w:usb3="00000000" w:csb0="00040000" w:csb1="00000000"/>
  </w:font>
  <w:font w:name="仿宋_GB2312">
    <w:altName w:val="汉仪仿宋KW"/>
    <w:panose1 w:val="02010609030101010101"/>
    <w:charset w:val="86"/>
    <w:family w:val="modern"/>
    <w:pitch w:val="default"/>
    <w:sig w:usb0="00000000" w:usb1="00000000" w:usb2="00000000" w:usb3="00000000" w:csb0="00040000" w:csb1="00000000"/>
  </w:font>
  <w:font w:name="Noto Serif CJK SC">
    <w:panose1 w:val="02020400000000000000"/>
    <w:charset w:val="86"/>
    <w:family w:val="auto"/>
    <w:pitch w:val="default"/>
    <w:sig w:usb0="30000083" w:usb1="2BDF3C10" w:usb2="00000016" w:usb3="00000000" w:csb0="602E0107" w:csb1="00000000"/>
  </w:font>
  <w:font w:name="汉仪中等线KW">
    <w:panose1 w:val="01010104010101010101"/>
    <w:charset w:val="86"/>
    <w:family w:val="auto"/>
    <w:pitch w:val="default"/>
    <w:sig w:usb0="800002BF" w:usb1="004F7CFA" w:usb2="00000000" w:usb3="00000000" w:csb0="00040001" w:csb1="00000000"/>
  </w:font>
  <w:font w:name="汉仪仿宋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571"/>
    <w:rsid w:val="000116FB"/>
    <w:rsid w:val="00012ACA"/>
    <w:rsid w:val="00024DC7"/>
    <w:rsid w:val="00061FBE"/>
    <w:rsid w:val="00082D1D"/>
    <w:rsid w:val="000B3060"/>
    <w:rsid w:val="00101FB5"/>
    <w:rsid w:val="0013381F"/>
    <w:rsid w:val="00152ADA"/>
    <w:rsid w:val="00181976"/>
    <w:rsid w:val="001826E1"/>
    <w:rsid w:val="001829A5"/>
    <w:rsid w:val="001902DD"/>
    <w:rsid w:val="001938F1"/>
    <w:rsid w:val="001C0F3F"/>
    <w:rsid w:val="001E37F6"/>
    <w:rsid w:val="002040B5"/>
    <w:rsid w:val="00210FF3"/>
    <w:rsid w:val="0023681A"/>
    <w:rsid w:val="00242FAB"/>
    <w:rsid w:val="0024507C"/>
    <w:rsid w:val="00255AA1"/>
    <w:rsid w:val="00296B51"/>
    <w:rsid w:val="002D54A4"/>
    <w:rsid w:val="002F31F8"/>
    <w:rsid w:val="002F6649"/>
    <w:rsid w:val="00305876"/>
    <w:rsid w:val="00317427"/>
    <w:rsid w:val="00320063"/>
    <w:rsid w:val="00340AC0"/>
    <w:rsid w:val="00380344"/>
    <w:rsid w:val="003A3950"/>
    <w:rsid w:val="003C53D6"/>
    <w:rsid w:val="003D102F"/>
    <w:rsid w:val="003D3BCA"/>
    <w:rsid w:val="00436C8F"/>
    <w:rsid w:val="00475189"/>
    <w:rsid w:val="004840E5"/>
    <w:rsid w:val="004A34BA"/>
    <w:rsid w:val="005027C3"/>
    <w:rsid w:val="00504B42"/>
    <w:rsid w:val="00511DD3"/>
    <w:rsid w:val="00546878"/>
    <w:rsid w:val="005563E3"/>
    <w:rsid w:val="00572C75"/>
    <w:rsid w:val="00595571"/>
    <w:rsid w:val="005A1290"/>
    <w:rsid w:val="005C2621"/>
    <w:rsid w:val="005C2B2D"/>
    <w:rsid w:val="005D1C86"/>
    <w:rsid w:val="005D73E6"/>
    <w:rsid w:val="005E340D"/>
    <w:rsid w:val="006B1FAB"/>
    <w:rsid w:val="006B3313"/>
    <w:rsid w:val="006D7926"/>
    <w:rsid w:val="006F1969"/>
    <w:rsid w:val="00706F1B"/>
    <w:rsid w:val="0071030B"/>
    <w:rsid w:val="0073484D"/>
    <w:rsid w:val="00736B1B"/>
    <w:rsid w:val="00742502"/>
    <w:rsid w:val="007526F1"/>
    <w:rsid w:val="00767DC2"/>
    <w:rsid w:val="00770404"/>
    <w:rsid w:val="00775E9C"/>
    <w:rsid w:val="007937F9"/>
    <w:rsid w:val="007B546F"/>
    <w:rsid w:val="007E50FF"/>
    <w:rsid w:val="007E6F3B"/>
    <w:rsid w:val="00802DF7"/>
    <w:rsid w:val="00824CD8"/>
    <w:rsid w:val="008455DE"/>
    <w:rsid w:val="00851B9C"/>
    <w:rsid w:val="00861A4A"/>
    <w:rsid w:val="00863977"/>
    <w:rsid w:val="00873101"/>
    <w:rsid w:val="00884C71"/>
    <w:rsid w:val="008C1109"/>
    <w:rsid w:val="008E6A94"/>
    <w:rsid w:val="008F64A4"/>
    <w:rsid w:val="008F6EE4"/>
    <w:rsid w:val="009178FD"/>
    <w:rsid w:val="0092383F"/>
    <w:rsid w:val="0092530E"/>
    <w:rsid w:val="00955E83"/>
    <w:rsid w:val="0098453B"/>
    <w:rsid w:val="00991AC1"/>
    <w:rsid w:val="009A683F"/>
    <w:rsid w:val="009B1317"/>
    <w:rsid w:val="009B7C2F"/>
    <w:rsid w:val="009C7A48"/>
    <w:rsid w:val="009D0839"/>
    <w:rsid w:val="009E7B7B"/>
    <w:rsid w:val="009F6CB6"/>
    <w:rsid w:val="00A22830"/>
    <w:rsid w:val="00A2626B"/>
    <w:rsid w:val="00A36EDE"/>
    <w:rsid w:val="00A41134"/>
    <w:rsid w:val="00A50889"/>
    <w:rsid w:val="00A5651A"/>
    <w:rsid w:val="00AA494F"/>
    <w:rsid w:val="00AA7F5A"/>
    <w:rsid w:val="00AE7993"/>
    <w:rsid w:val="00B179FF"/>
    <w:rsid w:val="00B334A4"/>
    <w:rsid w:val="00B61741"/>
    <w:rsid w:val="00B71175"/>
    <w:rsid w:val="00B75537"/>
    <w:rsid w:val="00B81BF1"/>
    <w:rsid w:val="00B92ABD"/>
    <w:rsid w:val="00BD2588"/>
    <w:rsid w:val="00C20E03"/>
    <w:rsid w:val="00C2184E"/>
    <w:rsid w:val="00C24591"/>
    <w:rsid w:val="00C66E1A"/>
    <w:rsid w:val="00C75AD2"/>
    <w:rsid w:val="00C77DDE"/>
    <w:rsid w:val="00C82BC4"/>
    <w:rsid w:val="00CC6959"/>
    <w:rsid w:val="00CE568C"/>
    <w:rsid w:val="00D05843"/>
    <w:rsid w:val="00D3169F"/>
    <w:rsid w:val="00D84A25"/>
    <w:rsid w:val="00DB1DDB"/>
    <w:rsid w:val="00DC0932"/>
    <w:rsid w:val="00DC187B"/>
    <w:rsid w:val="00DD10E7"/>
    <w:rsid w:val="00E22B8A"/>
    <w:rsid w:val="00E25E29"/>
    <w:rsid w:val="00E31627"/>
    <w:rsid w:val="00E64264"/>
    <w:rsid w:val="00E65BB4"/>
    <w:rsid w:val="00E827F0"/>
    <w:rsid w:val="00E97D71"/>
    <w:rsid w:val="00EA63A5"/>
    <w:rsid w:val="00ED6537"/>
    <w:rsid w:val="00F4764E"/>
    <w:rsid w:val="00F56975"/>
    <w:rsid w:val="00F64FFC"/>
    <w:rsid w:val="00F70E74"/>
    <w:rsid w:val="00F76153"/>
    <w:rsid w:val="00FB2881"/>
    <w:rsid w:val="00FC3364"/>
    <w:rsid w:val="00FD0B80"/>
    <w:rsid w:val="00FF1764"/>
    <w:rsid w:val="01DC0480"/>
    <w:rsid w:val="03A26EFC"/>
    <w:rsid w:val="04C410F4"/>
    <w:rsid w:val="04D550AF"/>
    <w:rsid w:val="05AF5900"/>
    <w:rsid w:val="061E4834"/>
    <w:rsid w:val="07486E19"/>
    <w:rsid w:val="07E07FF3"/>
    <w:rsid w:val="08976DA7"/>
    <w:rsid w:val="08BA6A96"/>
    <w:rsid w:val="08EC0C19"/>
    <w:rsid w:val="09E0252C"/>
    <w:rsid w:val="0B2515D4"/>
    <w:rsid w:val="0C930357"/>
    <w:rsid w:val="0CAE0DA9"/>
    <w:rsid w:val="0CEF0CD8"/>
    <w:rsid w:val="0D5F7C0C"/>
    <w:rsid w:val="0EA855E3"/>
    <w:rsid w:val="0F5E0022"/>
    <w:rsid w:val="12154D3D"/>
    <w:rsid w:val="134E6759"/>
    <w:rsid w:val="13DE7224"/>
    <w:rsid w:val="13E67C33"/>
    <w:rsid w:val="17BB42AC"/>
    <w:rsid w:val="18A4506D"/>
    <w:rsid w:val="1A954C6D"/>
    <w:rsid w:val="1BEF2AA3"/>
    <w:rsid w:val="1C2269D4"/>
    <w:rsid w:val="1D1502E7"/>
    <w:rsid w:val="1D1C1676"/>
    <w:rsid w:val="1DF148B0"/>
    <w:rsid w:val="1EFF2452"/>
    <w:rsid w:val="1FFF4751"/>
    <w:rsid w:val="23871813"/>
    <w:rsid w:val="23B1063E"/>
    <w:rsid w:val="24741D97"/>
    <w:rsid w:val="269D24CE"/>
    <w:rsid w:val="28757E8C"/>
    <w:rsid w:val="29AC5B2F"/>
    <w:rsid w:val="2C3F0EDD"/>
    <w:rsid w:val="2EFDE118"/>
    <w:rsid w:val="2F7F82B0"/>
    <w:rsid w:val="329D695D"/>
    <w:rsid w:val="35406489"/>
    <w:rsid w:val="358856A2"/>
    <w:rsid w:val="361A63AA"/>
    <w:rsid w:val="37F372A7"/>
    <w:rsid w:val="39EF70CB"/>
    <w:rsid w:val="3A6B16E8"/>
    <w:rsid w:val="3A7A7584"/>
    <w:rsid w:val="3AC54CA3"/>
    <w:rsid w:val="3AE01ADD"/>
    <w:rsid w:val="3AE355A6"/>
    <w:rsid w:val="3AEE7702"/>
    <w:rsid w:val="3AF2779A"/>
    <w:rsid w:val="3CBD5743"/>
    <w:rsid w:val="3D7FF98B"/>
    <w:rsid w:val="3E360866"/>
    <w:rsid w:val="3ECA2888"/>
    <w:rsid w:val="3F3725C6"/>
    <w:rsid w:val="3FAAEF67"/>
    <w:rsid w:val="3FE21E53"/>
    <w:rsid w:val="3FE82280"/>
    <w:rsid w:val="40291830"/>
    <w:rsid w:val="405B3556"/>
    <w:rsid w:val="41652D3C"/>
    <w:rsid w:val="421B164C"/>
    <w:rsid w:val="454F20C4"/>
    <w:rsid w:val="455FA21D"/>
    <w:rsid w:val="470D3C59"/>
    <w:rsid w:val="4BFDFD5E"/>
    <w:rsid w:val="4C7C3D2D"/>
    <w:rsid w:val="4C917069"/>
    <w:rsid w:val="4E465CA3"/>
    <w:rsid w:val="4F1418FD"/>
    <w:rsid w:val="4F7FFBB8"/>
    <w:rsid w:val="4F98252E"/>
    <w:rsid w:val="4FCA190F"/>
    <w:rsid w:val="502838B2"/>
    <w:rsid w:val="508B5BEF"/>
    <w:rsid w:val="533E519B"/>
    <w:rsid w:val="53BF5F47"/>
    <w:rsid w:val="54232D0E"/>
    <w:rsid w:val="55AC7EDD"/>
    <w:rsid w:val="56F5E532"/>
    <w:rsid w:val="5776E67A"/>
    <w:rsid w:val="582A3F3F"/>
    <w:rsid w:val="5AC4067B"/>
    <w:rsid w:val="5DF786F1"/>
    <w:rsid w:val="5EF33AB0"/>
    <w:rsid w:val="5F75DD22"/>
    <w:rsid w:val="5F7B2386"/>
    <w:rsid w:val="5FBD79EF"/>
    <w:rsid w:val="5FFF4C60"/>
    <w:rsid w:val="629B5ED6"/>
    <w:rsid w:val="62FA10DE"/>
    <w:rsid w:val="63E36016"/>
    <w:rsid w:val="64FD3107"/>
    <w:rsid w:val="65532D27"/>
    <w:rsid w:val="65890F2E"/>
    <w:rsid w:val="669B2BD8"/>
    <w:rsid w:val="67CFF531"/>
    <w:rsid w:val="68394457"/>
    <w:rsid w:val="688B4D53"/>
    <w:rsid w:val="69D65839"/>
    <w:rsid w:val="69D96EF0"/>
    <w:rsid w:val="6A415844"/>
    <w:rsid w:val="6C615D2A"/>
    <w:rsid w:val="6E9AF447"/>
    <w:rsid w:val="6F9E7295"/>
    <w:rsid w:val="6FFE085C"/>
    <w:rsid w:val="704C4F43"/>
    <w:rsid w:val="70904E30"/>
    <w:rsid w:val="711A13E7"/>
    <w:rsid w:val="712437CA"/>
    <w:rsid w:val="736507F6"/>
    <w:rsid w:val="7378572B"/>
    <w:rsid w:val="738789DA"/>
    <w:rsid w:val="73FF6CEC"/>
    <w:rsid w:val="764E0787"/>
    <w:rsid w:val="77BE9C45"/>
    <w:rsid w:val="7AB94CF9"/>
    <w:rsid w:val="7BBFDB2B"/>
    <w:rsid w:val="7BDD0A26"/>
    <w:rsid w:val="7CEA1D6C"/>
    <w:rsid w:val="7DFB7135"/>
    <w:rsid w:val="7F6EDE00"/>
    <w:rsid w:val="7F7C51CC"/>
    <w:rsid w:val="7F855E13"/>
    <w:rsid w:val="7FBE8969"/>
    <w:rsid w:val="7FBF861A"/>
    <w:rsid w:val="7FFE82BD"/>
    <w:rsid w:val="9D5784FB"/>
    <w:rsid w:val="ACAFC9CC"/>
    <w:rsid w:val="ADDC9BEC"/>
    <w:rsid w:val="B2FB48E0"/>
    <w:rsid w:val="BDAB9C65"/>
    <w:rsid w:val="BF3F93B2"/>
    <w:rsid w:val="BFEFAFFB"/>
    <w:rsid w:val="BFF33751"/>
    <w:rsid w:val="BFF7DC20"/>
    <w:rsid w:val="BFFF25BD"/>
    <w:rsid w:val="CE7EBFC6"/>
    <w:rsid w:val="CFBEA6D4"/>
    <w:rsid w:val="D57DEED7"/>
    <w:rsid w:val="D5F33298"/>
    <w:rsid w:val="DE9F04AB"/>
    <w:rsid w:val="DECF140D"/>
    <w:rsid w:val="DFF77B82"/>
    <w:rsid w:val="DFFFE7EE"/>
    <w:rsid w:val="E33F9D65"/>
    <w:rsid w:val="E5FD6A97"/>
    <w:rsid w:val="E7FF87D5"/>
    <w:rsid w:val="ED7F1D13"/>
    <w:rsid w:val="EDBB11E7"/>
    <w:rsid w:val="F2EFCEAD"/>
    <w:rsid w:val="F51A4248"/>
    <w:rsid w:val="F5F90A11"/>
    <w:rsid w:val="F6F91706"/>
    <w:rsid w:val="F71DC3EC"/>
    <w:rsid w:val="F7573BE4"/>
    <w:rsid w:val="F77F2333"/>
    <w:rsid w:val="FAAD85D7"/>
    <w:rsid w:val="FBFF37A4"/>
    <w:rsid w:val="FE2BAB56"/>
    <w:rsid w:val="FEFEC7B9"/>
    <w:rsid w:val="FF474AB9"/>
    <w:rsid w:val="FF6CE273"/>
    <w:rsid w:val="FFDF33D9"/>
    <w:rsid w:val="FFEF65C2"/>
    <w:rsid w:val="FFEFEBA9"/>
    <w:rsid w:val="FFF3B1A4"/>
    <w:rsid w:val="FFF79198"/>
    <w:rsid w:val="FFFA2C1C"/>
    <w:rsid w:val="FFFF33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widowControl/>
      <w:ind w:firstLine="420"/>
      <w:jc w:val="left"/>
    </w:pPr>
    <w:rPr>
      <w:kern w:val="0"/>
      <w:sz w:val="20"/>
    </w:rPr>
  </w:style>
  <w:style w:type="paragraph" w:styleId="5">
    <w:name w:val="annotation text"/>
    <w:basedOn w:val="1"/>
    <w:semiHidden/>
    <w:unhideWhenUsed/>
    <w:qFormat/>
    <w:uiPriority w:val="99"/>
    <w:pPr>
      <w:jc w:val="left"/>
    </w:pPr>
  </w:style>
  <w:style w:type="paragraph" w:styleId="6">
    <w:name w:val="Body Text Indent"/>
    <w:basedOn w:val="1"/>
    <w:link w:val="21"/>
    <w:semiHidden/>
    <w:unhideWhenUsed/>
    <w:qFormat/>
    <w:uiPriority w:val="99"/>
    <w:pPr>
      <w:spacing w:after="120"/>
      <w:ind w:left="420" w:leftChars="200"/>
    </w:pPr>
  </w:style>
  <w:style w:type="paragraph" w:styleId="7">
    <w:name w:val="footer"/>
    <w:basedOn w:val="1"/>
    <w:link w:val="24"/>
    <w:unhideWhenUsed/>
    <w:qFormat/>
    <w:uiPriority w:val="99"/>
    <w:pPr>
      <w:tabs>
        <w:tab w:val="center" w:pos="4153"/>
        <w:tab w:val="right" w:pos="8306"/>
      </w:tabs>
      <w:snapToGrid w:val="0"/>
      <w:jc w:val="left"/>
    </w:pPr>
    <w:rPr>
      <w:sz w:val="18"/>
      <w:szCs w:val="18"/>
    </w:rPr>
  </w:style>
  <w:style w:type="paragraph" w:styleId="8">
    <w:name w:val="header"/>
    <w:basedOn w:val="1"/>
    <w:link w:val="23"/>
    <w:unhideWhenUsed/>
    <w:qFormat/>
    <w:uiPriority w:val="99"/>
    <w:pPr>
      <w:tabs>
        <w:tab w:val="center" w:pos="4153"/>
        <w:tab w:val="right" w:pos="8306"/>
      </w:tabs>
      <w:snapToGrid w:val="0"/>
      <w:jc w:val="center"/>
    </w:pPr>
    <w:rPr>
      <w:sz w:val="18"/>
      <w:szCs w:val="18"/>
    </w:rPr>
  </w:style>
  <w:style w:type="paragraph" w:styleId="9">
    <w:name w:val="Body Text 2"/>
    <w:basedOn w:val="1"/>
    <w:link w:val="15"/>
    <w:qFormat/>
    <w:uiPriority w:val="0"/>
    <w:pPr>
      <w:jc w:val="center"/>
    </w:pPr>
    <w:rPr>
      <w:color w:val="FF00FF"/>
    </w:rPr>
  </w:style>
  <w:style w:type="paragraph" w:styleId="10">
    <w:name w:val="Body Text First Indent 2"/>
    <w:basedOn w:val="6"/>
    <w:link w:val="22"/>
    <w:unhideWhenUsed/>
    <w:qFormat/>
    <w:uiPriority w:val="99"/>
    <w:pPr>
      <w:ind w:firstLine="420" w:firstLineChars="200"/>
    </w:p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正文文本 2 字符"/>
    <w:basedOn w:val="13"/>
    <w:link w:val="9"/>
    <w:qFormat/>
    <w:uiPriority w:val="0"/>
    <w:rPr>
      <w:rFonts w:ascii="Times New Roman" w:hAnsi="Times New Roman" w:eastAsia="宋体" w:cs="Times New Roman"/>
      <w:color w:val="FF00FF"/>
      <w:szCs w:val="20"/>
    </w:rPr>
  </w:style>
  <w:style w:type="paragraph" w:customStyle="1" w:styleId="16">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character" w:customStyle="1" w:styleId="17">
    <w:name w:val="List Paragraph Char"/>
    <w:link w:val="18"/>
    <w:qFormat/>
    <w:locked/>
    <w:uiPriority w:val="0"/>
    <w:rPr>
      <w:rFonts w:eastAsia="宋体"/>
    </w:rPr>
  </w:style>
  <w:style w:type="paragraph" w:customStyle="1" w:styleId="18">
    <w:name w:val="列表段落1"/>
    <w:basedOn w:val="1"/>
    <w:link w:val="17"/>
    <w:qFormat/>
    <w:uiPriority w:val="0"/>
    <w:pPr>
      <w:ind w:firstLine="420" w:firstLineChars="200"/>
    </w:pPr>
    <w:rPr>
      <w:rFonts w:asciiTheme="minorHAnsi" w:hAnsiTheme="minorHAnsi" w:cstheme="minorBidi"/>
      <w:szCs w:val="24"/>
    </w:rPr>
  </w:style>
  <w:style w:type="paragraph" w:styleId="19">
    <w:name w:val="List Paragraph"/>
    <w:basedOn w:val="1"/>
    <w:qFormat/>
    <w:uiPriority w:val="34"/>
    <w:pPr>
      <w:ind w:firstLine="420" w:firstLineChars="200"/>
    </w:pPr>
  </w:style>
  <w:style w:type="paragraph" w:customStyle="1" w:styleId="20">
    <w:name w:val="1"/>
    <w:basedOn w:val="9"/>
    <w:qFormat/>
    <w:uiPriority w:val="0"/>
    <w:pPr>
      <w:spacing w:line="360" w:lineRule="auto"/>
      <w:jc w:val="left"/>
    </w:pPr>
    <w:rPr>
      <w:rFonts w:ascii="宋体" w:hAnsi="宋体" w:cs="宋体"/>
      <w:color w:val="auto"/>
      <w:sz w:val="24"/>
      <w:szCs w:val="28"/>
    </w:rPr>
  </w:style>
  <w:style w:type="character" w:customStyle="1" w:styleId="21">
    <w:name w:val="正文文本缩进 字符"/>
    <w:basedOn w:val="13"/>
    <w:link w:val="6"/>
    <w:semiHidden/>
    <w:qFormat/>
    <w:uiPriority w:val="99"/>
    <w:rPr>
      <w:rFonts w:ascii="Times New Roman" w:hAnsi="Times New Roman" w:eastAsia="宋体" w:cs="Times New Roman"/>
      <w:szCs w:val="20"/>
    </w:rPr>
  </w:style>
  <w:style w:type="character" w:customStyle="1" w:styleId="22">
    <w:name w:val="正文文本首行缩进 2 字符"/>
    <w:basedOn w:val="21"/>
    <w:link w:val="10"/>
    <w:qFormat/>
    <w:uiPriority w:val="99"/>
    <w:rPr>
      <w:rFonts w:ascii="Times New Roman" w:hAnsi="Times New Roman" w:eastAsia="宋体" w:cs="Times New Roman"/>
      <w:szCs w:val="20"/>
    </w:rPr>
  </w:style>
  <w:style w:type="character" w:customStyle="1" w:styleId="23">
    <w:name w:val="页眉 字符"/>
    <w:basedOn w:val="13"/>
    <w:link w:val="8"/>
    <w:qFormat/>
    <w:uiPriority w:val="99"/>
    <w:rPr>
      <w:rFonts w:ascii="Times New Roman" w:hAnsi="Times New Roman" w:eastAsia="宋体" w:cs="Times New Roman"/>
      <w:sz w:val="18"/>
      <w:szCs w:val="18"/>
    </w:rPr>
  </w:style>
  <w:style w:type="character" w:customStyle="1" w:styleId="24">
    <w:name w:val="页脚 字符"/>
    <w:basedOn w:val="13"/>
    <w:link w:val="7"/>
    <w:qFormat/>
    <w:uiPriority w:val="99"/>
    <w:rPr>
      <w:rFonts w:ascii="Times New Roman" w:hAnsi="Times New Roman" w:eastAsia="宋体" w:cs="Times New Roman"/>
      <w:sz w:val="18"/>
      <w:szCs w:val="18"/>
    </w:rPr>
  </w:style>
  <w:style w:type="character" w:customStyle="1" w:styleId="25">
    <w:name w:val="font71"/>
    <w:basedOn w:val="13"/>
    <w:qFormat/>
    <w:uiPriority w:val="0"/>
    <w:rPr>
      <w:rFonts w:hint="eastAsia" w:ascii="等线" w:hAnsi="等线" w:eastAsia="等线" w:cs="等线"/>
      <w:color w:val="000000"/>
      <w:sz w:val="20"/>
      <w:szCs w:val="20"/>
      <w:u w:val="none"/>
    </w:rPr>
  </w:style>
  <w:style w:type="paragraph" w:customStyle="1" w:styleId="26">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27">
    <w:name w:val="标题 1 字符"/>
    <w:basedOn w:val="13"/>
    <w:link w:val="2"/>
    <w:qFormat/>
    <w:uiPriority w:val="9"/>
    <w:rPr>
      <w:b/>
      <w:bCs/>
      <w:kern w:val="44"/>
      <w:sz w:val="44"/>
      <w:szCs w:val="44"/>
    </w:rPr>
  </w:style>
  <w:style w:type="character" w:customStyle="1" w:styleId="28">
    <w:name w:val="标题 2 字符"/>
    <w:basedOn w:val="13"/>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4370ba8c-9c2f-4cae-8524-92434a916beb</errorID>
      <errorWord>(</errorWord>
      <group>L1_Format</group>
      <groupName>格式问题</groupName>
      <ability>L2_HalfPunc</ability>
      <abilityName>全半角检查</abilityName>
      <candidateList>
        <item>（</item>
      </candidateList>
      <explain>文本全半角错误。</explain>
      <paraID>2BD58B5D</paraID>
      <start>4</start>
      <end>5</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d4a2af-4ad3-4497-b741-b7753a590446}">
  <ds:schemaRefs/>
</ds:datastoreItem>
</file>

<file path=docProps/app.xml><?xml version="1.0" encoding="utf-8"?>
<Properties xmlns="http://schemas.openxmlformats.org/officeDocument/2006/extended-properties" xmlns:vt="http://schemas.openxmlformats.org/officeDocument/2006/docPropsVTypes">
  <Pages>7</Pages>
  <Words>2981</Words>
  <Characters>3277</Characters>
  <Lines>114</Lines>
  <Paragraphs>98</Paragraphs>
  <TotalTime>283</TotalTime>
  <ScaleCrop>false</ScaleCrop>
  <LinksUpToDate>false</LinksUpToDate>
  <CharactersWithSpaces>3325</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2025-04-09T14:29:00Z</dcterms:created>
  <dc:creator>Microsoft Office User</dc:creator>
  <cp:lastModifiedBy>jasmine</cp:lastModifiedBy>
  <cp:lastPrinted>2025-11-20T15:57:00Z</cp:lastPrinted>
  <dcterms:modified xsi:type="dcterms:W3CDTF">2025-12-02T16:45:11Z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eyJoZGlkIjoiYWYzZWJlMjNmMDQ2M2U2ZDU2NjQxZGE1ZjU3Mjg2YjEiLCJ1c2VySWQiOiI0MTU1NDMzMjEifQ==</vt:lpwstr>
  </property>
  <property fmtid="{D5CDD505-2E9C-101B-9397-08002B2CF9AE}" pid="3" name="KSOProductBuildVer">
    <vt:lpwstr>2052-0.0.0.0</vt:lpwstr>
  </property>
  <property fmtid="{D5CDD505-2E9C-101B-9397-08002B2CF9AE}" pid="4" name="ICV">
    <vt:lpwstr>58C731ADE448424C82259C6F7C1984D0_13</vt:lpwstr>
  </property>
</Properties>
</file>